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shd w:val="clear" w:color="auto" w:fill="FFFFFF"/>
          <w:lang w:val="en-US" w:eastAsia="zh-CN"/>
        </w:rPr>
        <w:t>法律顾问服务评分办法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387"/>
        <w:gridCol w:w="1175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387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评审细则分类</w:t>
            </w:r>
          </w:p>
        </w:tc>
        <w:tc>
          <w:tcPr>
            <w:tcW w:w="1175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分值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评审细则及说明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387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律所整体情况</w:t>
            </w:r>
          </w:p>
        </w:tc>
        <w:tc>
          <w:tcPr>
            <w:tcW w:w="1175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根据投标企业的办公场所规模、人员构成规模、成立时间、注册地情况可得0-5分。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387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服务方案</w:t>
            </w:r>
          </w:p>
        </w:tc>
        <w:tc>
          <w:tcPr>
            <w:tcW w:w="1175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根据各投标企业所出具的服务方案优劣情况分别得分 0-30分。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387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业绩</w:t>
            </w:r>
          </w:p>
        </w:tc>
        <w:tc>
          <w:tcPr>
            <w:tcW w:w="1175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提供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医疗卫生行业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法律服务项目业绩证明文件含合同首页、主要服务内容页、合同盖单位章页等复印件，根据合同份数多少得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0-15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2387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服务团队规模</w:t>
            </w:r>
          </w:p>
        </w:tc>
        <w:tc>
          <w:tcPr>
            <w:tcW w:w="1175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视法律顾问团队成员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规模、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资历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职业级别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业务专长及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经验情况0-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2387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为医疗机构办理案件</w:t>
            </w:r>
          </w:p>
        </w:tc>
        <w:tc>
          <w:tcPr>
            <w:tcW w:w="1175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为医疗机构办理案件情况。（需提供证明材料），根据数量可得0-5分。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87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被服务人满意度</w:t>
            </w:r>
          </w:p>
        </w:tc>
        <w:tc>
          <w:tcPr>
            <w:tcW w:w="1175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提供法律援助服务的医疗机构满意度评价证明（感谢信、锦旗等），视证明材料多少情况0-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87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诚信情况</w:t>
            </w:r>
          </w:p>
        </w:tc>
        <w:tc>
          <w:tcPr>
            <w:tcW w:w="1175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如实提供三年内无行政处罚和行业惩戒声明的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分，不提供得0分。提供虚假声明，取消资格。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87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对招标文件响应程度</w:t>
            </w:r>
          </w:p>
        </w:tc>
        <w:tc>
          <w:tcPr>
            <w:tcW w:w="1175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根据投标文件胶印装订、编码目录、页码准确等情况得0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-5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387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针对本项目的</w:t>
            </w:r>
          </w:p>
          <w:p>
            <w:pPr>
              <w:widowControl/>
              <w:spacing w:line="31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优惠报价</w:t>
            </w:r>
          </w:p>
        </w:tc>
        <w:tc>
          <w:tcPr>
            <w:tcW w:w="1175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评标价格分数=（评标基准价/投标报价）×价格权重（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0%）×100。备注：符合招标要求的遴选企业且价格最低的报价为评标基准价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gridSpan w:val="2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合    计</w:t>
            </w:r>
          </w:p>
        </w:tc>
        <w:tc>
          <w:tcPr>
            <w:tcW w:w="1175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特别提醒：若投标人中标，则投标人提供的服务方案关于投标人的义务、责任、承诺或其他不利事项，自然成为合同义务的组成部分。合同履行过程中，若中标人未履行或全面履行服务方案的一项，或多项关于投标人的义务、责任、承诺或其他不利事项，则采购方有权单方面解除合同且有权不再支付尚未支付的任何费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76730"/>
    <w:rsid w:val="116858F6"/>
    <w:rsid w:val="34F76730"/>
    <w:rsid w:val="7A25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2021-05-18T01:23:00Z</dcterms:created>
  <dc:creator>nana洁</dc:creator>
  <cp:lastModifiedBy>nana洁</cp:lastModifiedBy>
  <dcterms:modified xsi:type="dcterms:W3CDTF">2021-05-18T01:38:55Z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